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8EF" w14:textId="0ADA5C64" w:rsidR="00AF4B6E" w:rsidRPr="00EA1DCA" w:rsidRDefault="008C2844" w:rsidP="00AF4B6E">
      <w:pPr>
        <w:jc w:val="center"/>
        <w:rPr>
          <w:rStyle w:val="normaltextrun"/>
          <w:rFonts w:hAnsi="Times New Roman" w:cs="Times New Roman"/>
          <w:b/>
          <w:bCs/>
          <w:u w:val="single"/>
        </w:rPr>
      </w:pPr>
      <w:bookmarkStart w:id="0" w:name="_Hlk50623045"/>
      <w:r w:rsidRPr="00EA1DCA">
        <w:rPr>
          <w:rFonts w:hAnsi="Times New Roman" w:cs="Times New Roman"/>
          <w:b/>
          <w:bCs/>
          <w:u w:val="single"/>
        </w:rPr>
        <w:t xml:space="preserve">CRITERIOS DE CALIFICACIÓN </w:t>
      </w:r>
      <w:r w:rsidR="000642CA" w:rsidRPr="00EA1DCA">
        <w:rPr>
          <w:rFonts w:hAnsi="Times New Roman" w:cs="Times New Roman"/>
          <w:b/>
          <w:bCs/>
          <w:u w:val="single"/>
        </w:rPr>
        <w:t>RELIGIÓN</w:t>
      </w:r>
    </w:p>
    <w:p w14:paraId="16617FE6" w14:textId="77777777" w:rsidR="00AF4B6E" w:rsidRPr="00EA1DCA" w:rsidRDefault="00AF4B6E" w:rsidP="00AF4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24CC8C53" w14:textId="77777777" w:rsidR="00B05971" w:rsidRPr="00BD26CD" w:rsidRDefault="00B05971" w:rsidP="00B05971">
      <w:pPr>
        <w:pStyle w:val="Cuerp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01B80" w14:textId="722C5EC9" w:rsidR="00B05971" w:rsidRDefault="00B05971" w:rsidP="00B059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Durante el curso 2022-23, los criterios de calificación del departamento de </w:t>
      </w:r>
      <w:r>
        <w:rPr>
          <w:rStyle w:val="normaltextrun"/>
        </w:rPr>
        <w:t>Religión</w:t>
      </w:r>
      <w:r>
        <w:rPr>
          <w:rStyle w:val="normaltextrun"/>
        </w:rPr>
        <w:t xml:space="preserve"> son: </w:t>
      </w:r>
    </w:p>
    <w:p w14:paraId="4C2AAE5B" w14:textId="12D1B5EA" w:rsidR="008C2844" w:rsidRPr="00EA1DCA" w:rsidRDefault="008C2844" w:rsidP="00C278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tbl>
      <w:tblPr>
        <w:tblW w:w="9072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301"/>
        <w:gridCol w:w="1771"/>
      </w:tblGrid>
      <w:tr w:rsidR="00EA2EF9" w:rsidRPr="00EA1DCA" w14:paraId="56369AD5" w14:textId="77777777" w:rsidTr="00042CDD">
        <w:tc>
          <w:tcPr>
            <w:tcW w:w="9072" w:type="dxa"/>
            <w:gridSpan w:val="2"/>
            <w:shd w:val="clear" w:color="auto" w:fill="DBE5F1"/>
          </w:tcPr>
          <w:p w14:paraId="4853E9A1" w14:textId="77777777" w:rsidR="00EA2EF9" w:rsidRPr="00EA1DCA" w:rsidRDefault="00EA2EF9" w:rsidP="00042CDD">
            <w:pPr>
              <w:jc w:val="center"/>
              <w:rPr>
                <w:rFonts w:hAnsi="Times New Roman" w:cs="Times New Roman"/>
                <w:b/>
                <w:bCs/>
                <w:u w:val="single"/>
              </w:rPr>
            </w:pPr>
            <w:r w:rsidRPr="00EA1DCA">
              <w:rPr>
                <w:rFonts w:hAnsi="Times New Roman" w:cs="Times New Roman"/>
                <w:b/>
                <w:bCs/>
                <w:u w:val="single"/>
              </w:rPr>
              <w:t>CRITERIOS DE CALIFICACIÓN RELIGIÓN</w:t>
            </w:r>
          </w:p>
        </w:tc>
      </w:tr>
      <w:tr w:rsidR="00EA2EF9" w:rsidRPr="00EA1DCA" w14:paraId="2E112C14" w14:textId="77777777" w:rsidTr="00042CDD">
        <w:tc>
          <w:tcPr>
            <w:tcW w:w="7301" w:type="dxa"/>
          </w:tcPr>
          <w:p w14:paraId="07DEB2F3" w14:textId="77777777" w:rsidR="00EA2EF9" w:rsidRPr="00EA1DCA" w:rsidRDefault="00EA2EF9" w:rsidP="00042CDD">
            <w:pPr>
              <w:jc w:val="both"/>
              <w:rPr>
                <w:rFonts w:eastAsia="Calibri" w:hAnsi="Times New Roman" w:cs="Times New Roman"/>
                <w:b/>
              </w:rPr>
            </w:pPr>
            <w:r w:rsidRPr="00EA1DCA">
              <w:rPr>
                <w:rFonts w:hAnsi="Times New Roman" w:cs="Times New Roman"/>
                <w:b/>
                <w:bCs/>
              </w:rPr>
              <w:t xml:space="preserve">Pruebas de asimilación de contenidos o saberes básicos </w:t>
            </w:r>
            <w:r w:rsidRPr="00EA1DCA">
              <w:rPr>
                <w:rFonts w:hAnsi="Times New Roman" w:cs="Times New Roman"/>
              </w:rPr>
              <w:t>(orales o escritas)</w:t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</w:r>
            <w:r w:rsidRPr="00EA1DCA">
              <w:rPr>
                <w:rStyle w:val="Nmerodepgina"/>
                <w:rFonts w:eastAsia="Calibri" w:hAnsi="Times New Roman" w:cs="Times New Roman"/>
              </w:rPr>
              <w:tab/>
              <w:t xml:space="preserve">      </w:t>
            </w:r>
          </w:p>
        </w:tc>
        <w:tc>
          <w:tcPr>
            <w:tcW w:w="1771" w:type="dxa"/>
          </w:tcPr>
          <w:p w14:paraId="0583D864" w14:textId="77777777" w:rsidR="00EA2EF9" w:rsidRPr="00E50AF2" w:rsidRDefault="00EA2EF9" w:rsidP="00E50AF2">
            <w:pPr>
              <w:spacing w:after="120" w:line="276" w:lineRule="auto"/>
              <w:ind w:left="34" w:right="-35"/>
              <w:jc w:val="center"/>
              <w:rPr>
                <w:rFonts w:hAnsi="Times New Roman" w:cs="Times New Roman"/>
                <w:b/>
              </w:rPr>
            </w:pPr>
            <w:r w:rsidRPr="00E50AF2">
              <w:rPr>
                <w:rFonts w:hAnsi="Times New Roman" w:cs="Times New Roman"/>
                <w:b/>
              </w:rPr>
              <w:t>40%</w:t>
            </w:r>
          </w:p>
        </w:tc>
      </w:tr>
      <w:tr w:rsidR="00EA2EF9" w:rsidRPr="00EA1DCA" w14:paraId="5663CE2E" w14:textId="77777777" w:rsidTr="00042CDD">
        <w:tc>
          <w:tcPr>
            <w:tcW w:w="7301" w:type="dxa"/>
          </w:tcPr>
          <w:p w14:paraId="4DF6E59B" w14:textId="77777777" w:rsidR="00B05971" w:rsidRDefault="00EA2EF9" w:rsidP="00042CDD">
            <w:pPr>
              <w:jc w:val="both"/>
              <w:rPr>
                <w:rFonts w:hAnsi="Times New Roman" w:cs="Times New Roman"/>
                <w:b/>
                <w:bCs/>
              </w:rPr>
            </w:pPr>
            <w:r w:rsidRPr="00EA1DCA">
              <w:rPr>
                <w:rFonts w:hAnsi="Times New Roman" w:cs="Times New Roman"/>
                <w:b/>
                <w:bCs/>
              </w:rPr>
              <w:t xml:space="preserve">Tareas cooperativas e individuales y situaciones de aprendizaje </w:t>
            </w:r>
          </w:p>
          <w:p w14:paraId="63D4B422" w14:textId="13D34740" w:rsidR="00EA2EF9" w:rsidRPr="00EA1DCA" w:rsidRDefault="00EA2EF9" w:rsidP="00042CDD">
            <w:pPr>
              <w:jc w:val="both"/>
              <w:rPr>
                <w:rFonts w:eastAsia="Calibri" w:hAnsi="Times New Roman" w:cs="Times New Roman"/>
                <w:bCs/>
                <w:color w:val="auto"/>
              </w:rPr>
            </w:pPr>
            <w:r w:rsidRPr="00EA1DCA">
              <w:rPr>
                <w:rFonts w:hAnsi="Times New Roman" w:cs="Times New Roman"/>
                <w:bCs/>
              </w:rPr>
              <w:t>(auto</w:t>
            </w:r>
            <w:r w:rsidR="00B05971">
              <w:rPr>
                <w:rFonts w:hAnsi="Times New Roman" w:cs="Times New Roman"/>
                <w:bCs/>
              </w:rPr>
              <w:t>evaluación y coevaluación</w:t>
            </w:r>
            <w:r w:rsidRPr="00EA1DCA">
              <w:rPr>
                <w:rFonts w:hAnsi="Times New Roman" w:cs="Times New Roman"/>
                <w:bCs/>
              </w:rPr>
              <w:t>)</w:t>
            </w:r>
          </w:p>
        </w:tc>
        <w:tc>
          <w:tcPr>
            <w:tcW w:w="1771" w:type="dxa"/>
          </w:tcPr>
          <w:p w14:paraId="720F7762" w14:textId="77777777" w:rsidR="00EA2EF9" w:rsidRPr="00E50AF2" w:rsidRDefault="00EA2EF9" w:rsidP="00E50AF2">
            <w:pPr>
              <w:spacing w:after="120" w:line="276" w:lineRule="auto"/>
              <w:ind w:left="34" w:right="-35"/>
              <w:jc w:val="center"/>
              <w:rPr>
                <w:rFonts w:hAnsi="Times New Roman" w:cs="Times New Roman"/>
                <w:b/>
              </w:rPr>
            </w:pPr>
            <w:r w:rsidRPr="00E50AF2">
              <w:rPr>
                <w:rFonts w:hAnsi="Times New Roman" w:cs="Times New Roman"/>
                <w:b/>
              </w:rPr>
              <w:t>40%</w:t>
            </w:r>
          </w:p>
        </w:tc>
      </w:tr>
      <w:tr w:rsidR="00EA2EF9" w:rsidRPr="00EA1DCA" w14:paraId="47C27E0F" w14:textId="77777777" w:rsidTr="00042CDD">
        <w:tc>
          <w:tcPr>
            <w:tcW w:w="7301" w:type="dxa"/>
          </w:tcPr>
          <w:p w14:paraId="4DE9A3FC" w14:textId="77777777" w:rsidR="00EA2EF9" w:rsidRPr="00EA1DCA" w:rsidRDefault="00EA2EF9" w:rsidP="00042CDD">
            <w:pPr>
              <w:spacing w:after="120" w:line="276" w:lineRule="auto"/>
              <w:ind w:left="34" w:right="-35"/>
              <w:jc w:val="both"/>
              <w:rPr>
                <w:rFonts w:hAnsi="Times New Roman" w:cs="Times New Roman"/>
                <w:b/>
                <w:bCs/>
              </w:rPr>
            </w:pPr>
            <w:r w:rsidRPr="00EA1DCA">
              <w:rPr>
                <w:rFonts w:hAnsi="Times New Roman" w:cs="Times New Roman"/>
                <w:b/>
                <w:bCs/>
              </w:rPr>
              <w:t>Observación directa</w:t>
            </w:r>
            <w:r w:rsidRPr="00EA1DCA">
              <w:rPr>
                <w:rFonts w:hAnsi="Times New Roman" w:cs="Times New Roman"/>
              </w:rPr>
              <w:t xml:space="preserve"> </w:t>
            </w:r>
            <w:r w:rsidRPr="00EA1DCA">
              <w:rPr>
                <w:rStyle w:val="Nmerodepgina"/>
                <w:rFonts w:eastAsia="Calibri" w:hAnsi="Times New Roman" w:cs="Times New Roman"/>
              </w:rPr>
              <w:t xml:space="preserve">(atención, esfuerzo, participación, respeto a fecha de entrega).                                                                                         </w:t>
            </w:r>
          </w:p>
        </w:tc>
        <w:tc>
          <w:tcPr>
            <w:tcW w:w="1771" w:type="dxa"/>
          </w:tcPr>
          <w:p w14:paraId="1744DC42" w14:textId="77777777" w:rsidR="00EA2EF9" w:rsidRPr="00E50AF2" w:rsidRDefault="00EA2EF9" w:rsidP="00E50AF2">
            <w:pPr>
              <w:spacing w:after="120" w:line="276" w:lineRule="auto"/>
              <w:ind w:left="34" w:right="-35"/>
              <w:jc w:val="center"/>
              <w:rPr>
                <w:rFonts w:hAnsi="Times New Roman" w:cs="Times New Roman"/>
                <w:b/>
              </w:rPr>
            </w:pPr>
            <w:r w:rsidRPr="00E50AF2">
              <w:rPr>
                <w:rFonts w:hAnsi="Times New Roman" w:cs="Times New Roman"/>
                <w:b/>
              </w:rPr>
              <w:t>20%</w:t>
            </w:r>
          </w:p>
        </w:tc>
      </w:tr>
    </w:tbl>
    <w:p w14:paraId="5CBEA2CB" w14:textId="77777777" w:rsidR="00EA2EF9" w:rsidRPr="00EA1DCA" w:rsidRDefault="00EA2EF9" w:rsidP="00C278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Cs/>
        </w:rPr>
      </w:pPr>
    </w:p>
    <w:bookmarkEnd w:id="0"/>
    <w:p w14:paraId="1BAA263C" w14:textId="0C5034AC" w:rsidR="007D215D" w:rsidRPr="001361BB" w:rsidRDefault="007D215D" w:rsidP="00EA1DCA">
      <w:pPr>
        <w:spacing w:before="60" w:line="360" w:lineRule="auto"/>
        <w:ind w:firstLine="567"/>
        <w:jc w:val="both"/>
        <w:rPr>
          <w:rFonts w:hAnsi="Times New Roman" w:cs="Times New Roman"/>
        </w:rPr>
      </w:pPr>
      <w:r w:rsidRPr="001361BB">
        <w:rPr>
          <w:rFonts w:hAnsi="Times New Roman" w:cs="Times New Roman"/>
        </w:rPr>
        <w:t xml:space="preserve">* </w:t>
      </w:r>
      <w:r w:rsidRPr="001361BB">
        <w:rPr>
          <w:rFonts w:hAnsi="Times New Roman" w:cs="Times New Roman"/>
          <w:b/>
        </w:rPr>
        <w:t>Pruebas escritas.</w:t>
      </w:r>
      <w:r w:rsidRPr="001361BB">
        <w:rPr>
          <w:rFonts w:hAnsi="Times New Roman" w:cs="Times New Roman"/>
        </w:rPr>
        <w:t xml:space="preserve"> En la calificación de las pruebas escritas se valorarán positivamente los siguientes conceptos: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Adecuación pregunta/respuesta.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Corrección formal (legibilidad, márgenes, sangría…) y ortográfica.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Capacidad de síntesis.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Capacidad de definición.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Capacidad de argumentación y razonamiento.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Capacidad de extraer y seleccionar información.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Capacidad de concentración.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Organización del trabajo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  <w:t>Gestión del tiempo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</w:r>
      <w:r w:rsidRPr="001361BB">
        <w:rPr>
          <w:rFonts w:hAnsi="Times New Roman" w:cs="Times New Roman"/>
          <w:b/>
        </w:rPr>
        <w:t>* Observación directa.</w:t>
      </w:r>
      <w:r w:rsidRPr="001361BB">
        <w:rPr>
          <w:rFonts w:hAnsi="Times New Roman" w:cs="Times New Roman"/>
        </w:rPr>
        <w:t xml:space="preserve"> Colaboración en el trabajo del aula, cooperación con los compañeros, disposición hacia el trabajo, atención en clase, presentación en tiempo y forma de los trabajos y ejercicios.</w:t>
      </w:r>
      <w:r w:rsidRPr="001361BB">
        <w:rPr>
          <w:rFonts w:hAnsi="Times New Roman" w:cs="Times New Roman"/>
        </w:rPr>
        <w:tab/>
      </w:r>
      <w:r w:rsidRPr="001361BB">
        <w:rPr>
          <w:rFonts w:hAnsi="Times New Roman" w:cs="Times New Roman"/>
        </w:rPr>
        <w:br/>
      </w:r>
    </w:p>
    <w:p w14:paraId="3C4AD30F" w14:textId="77777777" w:rsidR="004724B6" w:rsidRPr="001361BB" w:rsidRDefault="007D215D" w:rsidP="009F7372">
      <w:pPr>
        <w:spacing w:before="60" w:line="360" w:lineRule="auto"/>
        <w:jc w:val="both"/>
        <w:rPr>
          <w:rFonts w:hAnsi="Times New Roman" w:cs="Times New Roman"/>
        </w:rPr>
      </w:pPr>
      <w:bookmarkStart w:id="1" w:name="_Hlk524428433"/>
      <w:bookmarkStart w:id="2" w:name="_Hlk524429902"/>
      <w:r w:rsidRPr="001361BB">
        <w:rPr>
          <w:rFonts w:hAnsi="Times New Roman" w:cs="Times New Roman"/>
        </w:rPr>
        <w:t xml:space="preserve">* </w:t>
      </w:r>
      <w:bookmarkEnd w:id="1"/>
      <w:r w:rsidRPr="001361BB">
        <w:rPr>
          <w:rFonts w:hAnsi="Times New Roman" w:cs="Times New Roman"/>
          <w:b/>
          <w:u w:val="single"/>
        </w:rPr>
        <w:t>Para aprobar la evaluación,</w:t>
      </w:r>
      <w:r w:rsidRPr="001361BB">
        <w:rPr>
          <w:rFonts w:hAnsi="Times New Roman" w:cs="Times New Roman"/>
        </w:rPr>
        <w:t xml:space="preserve"> la nota media ponderada entre los tres bloques debe ser como </w:t>
      </w:r>
      <w:r w:rsidRPr="001361BB">
        <w:rPr>
          <w:rFonts w:hAnsi="Times New Roman" w:cs="Times New Roman"/>
          <w:b/>
          <w:u w:val="single"/>
        </w:rPr>
        <w:t>mínimo un 5</w:t>
      </w:r>
      <w:r w:rsidRPr="001361BB">
        <w:rPr>
          <w:rFonts w:hAnsi="Times New Roman" w:cs="Times New Roman"/>
        </w:rPr>
        <w:t>.</w:t>
      </w:r>
    </w:p>
    <w:p w14:paraId="764235C8" w14:textId="61228089" w:rsidR="004724B6" w:rsidRPr="001361BB" w:rsidRDefault="007D215D" w:rsidP="004724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1361BB">
        <w:t xml:space="preserve">No se hará media si la nota de la </w:t>
      </w:r>
      <w:r w:rsidR="00B05971" w:rsidRPr="001361BB">
        <w:t>p</w:t>
      </w:r>
      <w:r w:rsidR="00B05971" w:rsidRPr="001361BB">
        <w:t>rueba de asimilación de contenidos o saberes básicos (orales o escritas)</w:t>
      </w:r>
      <w:r w:rsidR="00B05971" w:rsidRPr="001361BB">
        <w:t xml:space="preserve"> </w:t>
      </w:r>
      <w:r w:rsidRPr="001361BB">
        <w:t>o la de</w:t>
      </w:r>
      <w:r w:rsidR="004724B6" w:rsidRPr="001361BB">
        <w:t xml:space="preserve"> las tareas o situaciones de aprendizaje</w:t>
      </w:r>
      <w:r w:rsidRPr="001361BB">
        <w:t xml:space="preserve"> es </w:t>
      </w:r>
      <w:r w:rsidRPr="001361BB">
        <w:rPr>
          <w:b/>
        </w:rPr>
        <w:t>inferior a 4</w:t>
      </w:r>
      <w:r w:rsidRPr="001361BB">
        <w:t>. En estos casos, el resultado global de la evaluación será suspenso y deberá recuperar la parte o partes no superad</w:t>
      </w:r>
      <w:r w:rsidR="004724B6" w:rsidRPr="001361BB">
        <w:t>a (</w:t>
      </w:r>
      <w:r w:rsidR="004724B6" w:rsidRPr="001361BB">
        <w:rPr>
          <w:rStyle w:val="normaltextrun"/>
        </w:rPr>
        <w:t>el alumno deberá repetir solamente la/s prueba/s en donde la nota sea inferior a 4</w:t>
      </w:r>
      <w:r w:rsidR="004724B6" w:rsidRPr="001361BB">
        <w:rPr>
          <w:rStyle w:val="normaltextrun"/>
        </w:rPr>
        <w:t>)</w:t>
      </w:r>
      <w:r w:rsidR="004724B6" w:rsidRPr="001361BB">
        <w:rPr>
          <w:rStyle w:val="normaltextrun"/>
        </w:rPr>
        <w:t xml:space="preserve">. </w:t>
      </w:r>
    </w:p>
    <w:p w14:paraId="69897A40" w14:textId="2A90EEFC" w:rsidR="007D215D" w:rsidRPr="001361BB" w:rsidRDefault="004724B6" w:rsidP="004724B6">
      <w:pPr>
        <w:spacing w:before="60" w:line="360" w:lineRule="auto"/>
        <w:jc w:val="both"/>
        <w:rPr>
          <w:rFonts w:hAnsi="Times New Roman" w:cs="Times New Roman"/>
          <w:bCs/>
        </w:rPr>
      </w:pPr>
      <w:r w:rsidRPr="001361BB">
        <w:rPr>
          <w:rStyle w:val="normaltextrun"/>
          <w:rFonts w:hAnsi="Times New Roman" w:cs="Times New Roman"/>
        </w:rPr>
        <w:lastRenderedPageBreak/>
        <w:t>Es requisito indispensable entregar todos los trabajos para obtener un resultado positivo.</w:t>
      </w:r>
      <w:r w:rsidR="009228FE" w:rsidRPr="001361BB">
        <w:rPr>
          <w:rStyle w:val="normaltextrun"/>
          <w:rFonts w:hAnsi="Times New Roman" w:cs="Times New Roman"/>
        </w:rPr>
        <w:t xml:space="preserve"> </w:t>
      </w:r>
      <w:r w:rsidR="007D215D" w:rsidRPr="001361BB">
        <w:rPr>
          <w:rFonts w:hAnsi="Times New Roman" w:cs="Times New Roman"/>
          <w:bCs/>
        </w:rPr>
        <w:t xml:space="preserve">Para el resto de casos, se redondeará al alza si el decimal es igual o superior a </w:t>
      </w:r>
      <w:r w:rsidR="009228FE" w:rsidRPr="001361BB">
        <w:rPr>
          <w:rFonts w:hAnsi="Times New Roman" w:cs="Times New Roman"/>
          <w:bCs/>
        </w:rPr>
        <w:t>5</w:t>
      </w:r>
      <w:r w:rsidR="007D215D" w:rsidRPr="001361BB">
        <w:rPr>
          <w:rFonts w:hAnsi="Times New Roman" w:cs="Times New Roman"/>
          <w:bCs/>
        </w:rPr>
        <w:t>.</w:t>
      </w:r>
    </w:p>
    <w:p w14:paraId="0974CF0B" w14:textId="0C1740B5" w:rsidR="00EA2EF9" w:rsidRPr="001361BB" w:rsidRDefault="00EA2EF9" w:rsidP="009F7372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</w:p>
    <w:p w14:paraId="1BB4EDE5" w14:textId="77777777" w:rsidR="001361BB" w:rsidRPr="001361BB" w:rsidRDefault="001361BB" w:rsidP="001361B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1361BB">
        <w:t>En el caso de que un alumno falte por cualquier motivo, y no sea posible aplicarle la evaluación continua, los profesores o el departamento tendrán diseñado el proceso de evaluación necesario para adecuarse a estos casos. Entre las herramientas de evaluación pueden utilizarse la realización de trabajos individuales de contenidos, de investigación, etc., y la realización de pruebas escritas en la fecha propuesta por los profesores correspondientes.  </w:t>
      </w:r>
    </w:p>
    <w:p w14:paraId="07173D84" w14:textId="77777777" w:rsidR="001361BB" w:rsidRPr="001361BB" w:rsidRDefault="001361BB" w:rsidP="001361BB">
      <w:pPr>
        <w:spacing w:line="360" w:lineRule="auto"/>
        <w:jc w:val="both"/>
        <w:rPr>
          <w:rFonts w:hAnsi="Times New Roman" w:cs="Times New Roman"/>
          <w:lang w:val="es-ES"/>
        </w:rPr>
      </w:pPr>
      <w:r w:rsidRPr="001361BB">
        <w:rPr>
          <w:rFonts w:hAnsi="Times New Roman" w:cs="Times New Roman"/>
          <w:lang w:val="es-ES"/>
        </w:rPr>
        <w:t>Para los alumnos que deban recuperar la materia pendiente de curso anterior se les facilitará un programa de refuerzo y se organizará un calendario de entrega de actividades y de pruebas objetivas que les permitan recuperar la materia.  </w:t>
      </w:r>
    </w:p>
    <w:p w14:paraId="219FA3D5" w14:textId="77777777" w:rsidR="001361BB" w:rsidRPr="001361BB" w:rsidRDefault="001361BB" w:rsidP="001361BB">
      <w:pPr>
        <w:spacing w:line="360" w:lineRule="auto"/>
        <w:jc w:val="both"/>
        <w:rPr>
          <w:rFonts w:hAnsi="Times New Roman" w:cs="Times New Roman"/>
          <w:lang w:val="es-ES"/>
        </w:rPr>
      </w:pPr>
      <w:r w:rsidRPr="001361BB">
        <w:rPr>
          <w:rFonts w:hAnsi="Times New Roman" w:cs="Times New Roman"/>
          <w:lang w:val="es-ES"/>
        </w:rPr>
        <w:t>Este programa de refuerzo se decide en cada departamento y se le entrega a los padres o tutores legales a modo de información.  </w:t>
      </w:r>
    </w:p>
    <w:p w14:paraId="045CE2AC" w14:textId="77777777" w:rsidR="001361BB" w:rsidRPr="001361BB" w:rsidRDefault="001361BB" w:rsidP="001361BB">
      <w:pPr>
        <w:spacing w:line="360" w:lineRule="auto"/>
        <w:jc w:val="both"/>
        <w:rPr>
          <w:rFonts w:hAnsi="Times New Roman" w:cs="Times New Roman"/>
          <w:lang w:val="es-ES"/>
        </w:rPr>
      </w:pPr>
      <w:r w:rsidRPr="001361BB">
        <w:rPr>
          <w:rFonts w:hAnsi="Times New Roman" w:cs="Times New Roman"/>
          <w:lang w:val="es-ES"/>
        </w:rPr>
        <w:t>Asimismo, los alumnos que necesitan medidas generales, tendrán un informe individualizado en el que se deje constancia del tipo de medida a aplicar para informar a sus padres o tutores legales. </w:t>
      </w:r>
    </w:p>
    <w:p w14:paraId="7A708E1D" w14:textId="77777777" w:rsidR="001361BB" w:rsidRPr="001361BB" w:rsidRDefault="001361BB" w:rsidP="001361BB">
      <w:pPr>
        <w:spacing w:line="360" w:lineRule="auto"/>
        <w:jc w:val="both"/>
        <w:rPr>
          <w:rFonts w:hAnsi="Times New Roman" w:cs="Times New Roman"/>
          <w:lang w:val="es-ES"/>
        </w:rPr>
      </w:pPr>
      <w:r w:rsidRPr="001361BB">
        <w:rPr>
          <w:rFonts w:hAnsi="Times New Roman" w:cs="Times New Roman"/>
          <w:lang w:val="es-ES"/>
        </w:rPr>
        <w:t>Para los alumnos con ACS o con programas de refuerzo se siguen las instrucciones marcadas en la legislación vigente. </w:t>
      </w:r>
    </w:p>
    <w:p w14:paraId="731A157A" w14:textId="4AB6CC3A" w:rsidR="001361BB" w:rsidRDefault="001361BB" w:rsidP="009F7372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</w:p>
    <w:bookmarkEnd w:id="2"/>
    <w:p w14:paraId="61C59DEB" w14:textId="77777777" w:rsidR="001361BB" w:rsidRPr="00EA1DCA" w:rsidRDefault="001361BB" w:rsidP="009F7372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</w:p>
    <w:sectPr w:rsidR="001361BB" w:rsidRPr="00EA1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3B45" w14:textId="77777777" w:rsidR="00437891" w:rsidRDefault="00437891" w:rsidP="00AF4B6E">
      <w:r>
        <w:separator/>
      </w:r>
    </w:p>
  </w:endnote>
  <w:endnote w:type="continuationSeparator" w:id="0">
    <w:p w14:paraId="530516BD" w14:textId="77777777" w:rsidR="00437891" w:rsidRDefault="00437891" w:rsidP="00AF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7DFA" w14:textId="77777777" w:rsidR="00437891" w:rsidRDefault="00437891" w:rsidP="00AF4B6E">
      <w:r>
        <w:separator/>
      </w:r>
    </w:p>
  </w:footnote>
  <w:footnote w:type="continuationSeparator" w:id="0">
    <w:p w14:paraId="631A1CCC" w14:textId="77777777" w:rsidR="00437891" w:rsidRDefault="00437891" w:rsidP="00AF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C8F"/>
    <w:multiLevelType w:val="multilevel"/>
    <w:tmpl w:val="A20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646D5"/>
    <w:multiLevelType w:val="multilevel"/>
    <w:tmpl w:val="2CB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417365">
    <w:abstractNumId w:val="1"/>
  </w:num>
  <w:num w:numId="2" w16cid:durableId="193627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44"/>
    <w:rsid w:val="00013CBF"/>
    <w:rsid w:val="000642CA"/>
    <w:rsid w:val="000C41EB"/>
    <w:rsid w:val="001361BB"/>
    <w:rsid w:val="001A7D29"/>
    <w:rsid w:val="002D1C96"/>
    <w:rsid w:val="003007F4"/>
    <w:rsid w:val="00311596"/>
    <w:rsid w:val="00386B82"/>
    <w:rsid w:val="003943CB"/>
    <w:rsid w:val="00435812"/>
    <w:rsid w:val="00437891"/>
    <w:rsid w:val="004724B6"/>
    <w:rsid w:val="005B5496"/>
    <w:rsid w:val="005F382E"/>
    <w:rsid w:val="007D215D"/>
    <w:rsid w:val="007E738D"/>
    <w:rsid w:val="00873BC7"/>
    <w:rsid w:val="00884BD2"/>
    <w:rsid w:val="008B1E95"/>
    <w:rsid w:val="008C2844"/>
    <w:rsid w:val="009228FE"/>
    <w:rsid w:val="009267BD"/>
    <w:rsid w:val="009F7372"/>
    <w:rsid w:val="00A969E4"/>
    <w:rsid w:val="00AF4B6E"/>
    <w:rsid w:val="00B05971"/>
    <w:rsid w:val="00B528CF"/>
    <w:rsid w:val="00C278EE"/>
    <w:rsid w:val="00D41CE9"/>
    <w:rsid w:val="00D90D39"/>
    <w:rsid w:val="00E1562C"/>
    <w:rsid w:val="00E50AF2"/>
    <w:rsid w:val="00EA1DCA"/>
    <w:rsid w:val="00EA2EF9"/>
    <w:rsid w:val="00F04F3C"/>
    <w:rsid w:val="00F4741E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1E1CA"/>
  <w15:chartTrackingRefBased/>
  <w15:docId w15:val="{AC48F266-5FDA-4983-BAD8-5132B40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8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8C2844"/>
    <w:rPr>
      <w:lang w:val="es-ES_tradnl"/>
    </w:rPr>
  </w:style>
  <w:style w:type="paragraph" w:customStyle="1" w:styleId="paragraph">
    <w:name w:val="paragraph"/>
    <w:basedOn w:val="Normal"/>
    <w:rsid w:val="007D2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s-ES" w:eastAsia="es-ES"/>
    </w:rPr>
  </w:style>
  <w:style w:type="character" w:customStyle="1" w:styleId="normaltextrun">
    <w:name w:val="normaltextrun"/>
    <w:basedOn w:val="Fuentedeprrafopredeter"/>
    <w:rsid w:val="007D215D"/>
  </w:style>
  <w:style w:type="character" w:customStyle="1" w:styleId="eop">
    <w:name w:val="eop"/>
    <w:basedOn w:val="Fuentedeprrafopredeter"/>
    <w:rsid w:val="007D215D"/>
  </w:style>
  <w:style w:type="character" w:customStyle="1" w:styleId="contextualspellingandgrammarerror">
    <w:name w:val="contextualspellingandgrammarerror"/>
    <w:basedOn w:val="Fuentedeprrafopredeter"/>
    <w:rsid w:val="007D215D"/>
  </w:style>
  <w:style w:type="paragraph" w:styleId="Encabezado">
    <w:name w:val="header"/>
    <w:basedOn w:val="Normal"/>
    <w:link w:val="EncabezadoCar"/>
    <w:uiPriority w:val="99"/>
    <w:unhideWhenUsed/>
    <w:rsid w:val="00AF4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B6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F4B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B6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styleId="Prrafodelista">
    <w:name w:val="List Paragraph"/>
    <w:basedOn w:val="Normal"/>
    <w:uiPriority w:val="34"/>
    <w:qFormat/>
    <w:rsid w:val="00F91BF9"/>
    <w:pPr>
      <w:ind w:left="720"/>
      <w:contextualSpacing/>
    </w:pPr>
  </w:style>
  <w:style w:type="paragraph" w:customStyle="1" w:styleId="Cuerpo">
    <w:name w:val="Cuerpo"/>
    <w:rsid w:val="00B059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</cp:lastModifiedBy>
  <cp:revision>31</cp:revision>
  <dcterms:created xsi:type="dcterms:W3CDTF">2020-09-06T11:04:00Z</dcterms:created>
  <dcterms:modified xsi:type="dcterms:W3CDTF">2022-09-18T05:41:00Z</dcterms:modified>
</cp:coreProperties>
</file>